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1263478C" w14:textId="77777777" w:rsidR="00F250F2" w:rsidRPr="009F2B22" w:rsidRDefault="00F250F2" w:rsidP="00F250F2">
      <w:pPr>
        <w:jc w:val="center"/>
      </w:pPr>
      <w:r w:rsidRPr="009F2B22">
        <w:t xml:space="preserve">Projektová dokumentace pro </w:t>
      </w:r>
      <w:r>
        <w:t>provádění stavby</w:t>
      </w:r>
    </w:p>
    <w:p w14:paraId="1911BF0F" w14:textId="77777777" w:rsidR="008A29C0" w:rsidRPr="009F2B22" w:rsidRDefault="008A29C0" w:rsidP="008A29C0">
      <w:pPr>
        <w:jc w:val="center"/>
      </w:pPr>
    </w:p>
    <w:p w14:paraId="0C1C7C7C" w14:textId="0D902F2A" w:rsidR="00BC09D9" w:rsidRDefault="001A3683" w:rsidP="008A29C0">
      <w:pPr>
        <w:jc w:val="center"/>
        <w:rPr>
          <w:sz w:val="32"/>
          <w:szCs w:val="32"/>
        </w:rPr>
      </w:pPr>
      <w:bookmarkStart w:id="1" w:name="_Hlk54879788"/>
      <w:r w:rsidRPr="001A3683">
        <w:rPr>
          <w:sz w:val="32"/>
          <w:szCs w:val="32"/>
        </w:rPr>
        <w:t>PS 02.1</w:t>
      </w:r>
      <w:r w:rsidR="00E6402A">
        <w:rPr>
          <w:sz w:val="32"/>
          <w:szCs w:val="32"/>
        </w:rPr>
        <w:t>8</w:t>
      </w:r>
      <w:r w:rsidR="00060B48">
        <w:rPr>
          <w:sz w:val="32"/>
          <w:szCs w:val="32"/>
        </w:rPr>
        <w:t>.0</w:t>
      </w:r>
      <w:r w:rsidRPr="001A3683">
        <w:rPr>
          <w:sz w:val="32"/>
          <w:szCs w:val="32"/>
        </w:rPr>
        <w:t xml:space="preserve"> </w:t>
      </w:r>
      <w:r w:rsidR="001D3638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="00E6402A">
        <w:rPr>
          <w:sz w:val="32"/>
          <w:szCs w:val="32"/>
        </w:rPr>
        <w:t>Hydroponická laboratoř</w:t>
      </w:r>
      <w:r w:rsidR="00060B48">
        <w:rPr>
          <w:sz w:val="32"/>
          <w:szCs w:val="32"/>
        </w:rPr>
        <w:t xml:space="preserve"> - skleník</w:t>
      </w:r>
    </w:p>
    <w:bookmarkEnd w:id="1"/>
    <w:p w14:paraId="13382609" w14:textId="77777777" w:rsidR="001A3683" w:rsidRPr="009F2B22" w:rsidRDefault="001A3683" w:rsidP="008A29C0">
      <w:pPr>
        <w:jc w:val="center"/>
      </w:pPr>
    </w:p>
    <w:p w14:paraId="6EA48110" w14:textId="771DF34C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2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2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0FCE8552" w14:textId="4AE7CCF7" w:rsidR="00BC09D9" w:rsidRPr="00BC09D9" w:rsidRDefault="004C5FBF" w:rsidP="00BC09D9">
      <w:pPr>
        <w:jc w:val="center"/>
      </w:pPr>
      <w:bookmarkStart w:id="3" w:name="_Hlk54212915"/>
      <w:r>
        <w:t>Provozní soubory</w:t>
      </w:r>
      <w:r w:rsidR="00BC09D9">
        <w:t xml:space="preserve"> </w:t>
      </w:r>
    </w:p>
    <w:bookmarkEnd w:id="3"/>
    <w:p w14:paraId="7D7F8EB1" w14:textId="21920FB1" w:rsidR="00012795" w:rsidRDefault="00012795" w:rsidP="00FE0D5C">
      <w:pPr>
        <w:jc w:val="center"/>
        <w:rPr>
          <w:shd w:val="clear" w:color="auto" w:fill="FFFF00"/>
        </w:rPr>
      </w:pPr>
    </w:p>
    <w:p w14:paraId="0D6D1034" w14:textId="2C1341DB" w:rsidR="00012795" w:rsidRDefault="00012795" w:rsidP="00FE0D5C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FE0D5C">
      <w:pPr>
        <w:jc w:val="center"/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6AAE61DB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1A3683" w:rsidRPr="001A3683">
                    <w:t>02.1</w:t>
                  </w:r>
                  <w:r w:rsidR="00E6402A">
                    <w:t>8</w:t>
                  </w:r>
                  <w:r w:rsidR="00060B48">
                    <w:t>.0</w:t>
                  </w:r>
                  <w:r w:rsidR="001A3683" w:rsidRPr="00BC09D9">
                    <w:t xml:space="preserve"> </w:t>
                  </w:r>
                  <w:r w:rsidR="00061962">
                    <w:rPr>
                      <w:lang w:eastAsia="cs-CZ"/>
                    </w:rPr>
                    <w:t>-</w:t>
                  </w:r>
                  <w:r w:rsidR="001A3683">
                    <w:rPr>
                      <w:lang w:eastAsia="cs-CZ"/>
                    </w:rPr>
                    <w:t xml:space="preserve"> </w:t>
                  </w:r>
                  <w:r w:rsidR="00061962">
                    <w:rPr>
                      <w:lang w:eastAsia="cs-CZ"/>
                    </w:rPr>
                    <w:t>01</w:t>
                  </w:r>
                  <w:r w:rsidR="00012795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Kafkova 1064/12, 702 00 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7C40D7B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 xml:space="preserve">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78792A34" w:rsidR="008A29C0" w:rsidRPr="009F2B22" w:rsidRDefault="001D3638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1D3638">
                    <w:rPr>
                      <w:lang w:eastAsia="cs-CZ"/>
                    </w:rPr>
                    <w:t>doc. Ing. Lukáš Prokop, Ph.D.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>17. listopadu 2172/15, 708 00 Ostrava - Poruba</w:t>
                  </w:r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86570ED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60BDC1CC" w14:textId="7F71562A" w:rsidR="00CB38AE" w:rsidRDefault="001647F9" w:rsidP="001647F9">
      <w:pPr>
        <w:rPr>
          <w:lang w:eastAsia="cs-CZ"/>
        </w:rPr>
      </w:pPr>
      <w:r>
        <w:rPr>
          <w:b/>
          <w:bCs/>
          <w:szCs w:val="20"/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b/>
          <w:bCs/>
          <w:szCs w:val="20"/>
          <w:lang w:eastAsia="cs-CZ"/>
        </w:rPr>
        <w:fldChar w:fldCharType="separate"/>
      </w:r>
      <w:r w:rsidR="00F250F2">
        <w:rPr>
          <w:noProof/>
          <w:szCs w:val="20"/>
          <w:lang w:eastAsia="cs-CZ"/>
        </w:rPr>
        <w:t>Nebyla nalezena položka obsahu.</w:t>
      </w:r>
      <w:r>
        <w:rPr>
          <w:lang w:eastAsia="cs-CZ"/>
        </w:rPr>
        <w:fldChar w:fldCharType="end"/>
      </w:r>
    </w:p>
    <w:p w14:paraId="6AC09310" w14:textId="65811A59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78D6B27D" w14:textId="4D824C4A" w:rsidR="00A816AC" w:rsidRPr="00F250F2" w:rsidRDefault="001E1308" w:rsidP="00F250F2">
      <w:pPr>
        <w:pStyle w:val="Nadpis7"/>
      </w:pPr>
      <w:r w:rsidRPr="00F250F2">
        <w:lastRenderedPageBreak/>
        <w:t>PŘEDMĚT PROJEKTU</w:t>
      </w:r>
    </w:p>
    <w:p w14:paraId="6017130E" w14:textId="77777777" w:rsidR="001E1308" w:rsidRDefault="001E1308" w:rsidP="001A3683">
      <w:pPr>
        <w:suppressAutoHyphens w:val="0"/>
        <w:spacing w:line="240" w:lineRule="exact"/>
        <w:outlineLvl w:val="1"/>
        <w:rPr>
          <w:rFonts w:cs="Times New Roman"/>
          <w:highlight w:val="yellow"/>
          <w:lang w:val="x-none" w:eastAsia="x-none"/>
        </w:rPr>
      </w:pPr>
      <w:bookmarkStart w:id="4" w:name="_Toc27578429"/>
    </w:p>
    <w:bookmarkEnd w:id="4"/>
    <w:p w14:paraId="349E75FE" w14:textId="38B7B9CD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 xml:space="preserve">Předmětem veřejné zakázky je dodávka, montáž, odzkoušení, zprovoznění a servis hydroponické laboratoře. Všechny technologické části budou tvořit technologický celek, který bude dodán v rámci jediné ucelené dodávky a bude umožňovat provoz a chod instalovaných zařízení a přístrojů. Hydroponická Laboratoř, dále označená jako (HL) je součástí projektu </w:t>
      </w:r>
      <w:proofErr w:type="spellStart"/>
      <w:r w:rsidRPr="00140B2E">
        <w:rPr>
          <w:rFonts w:cs="Times New Roman"/>
          <w:lang w:eastAsia="x-none"/>
        </w:rPr>
        <w:t>CEETe</w:t>
      </w:r>
      <w:proofErr w:type="spellEnd"/>
      <w:r w:rsidRPr="00140B2E">
        <w:rPr>
          <w:rFonts w:cs="Times New Roman"/>
          <w:lang w:eastAsia="x-none"/>
        </w:rPr>
        <w:t xml:space="preserve"> – Centrum Energetických a Environmentálních Technologií v campusu VŠB-TUO. HL bude umístěna v nově budovaném objektu </w:t>
      </w:r>
      <w:proofErr w:type="spellStart"/>
      <w:r w:rsidRPr="00140B2E">
        <w:rPr>
          <w:rFonts w:cs="Times New Roman"/>
          <w:lang w:eastAsia="x-none"/>
        </w:rPr>
        <w:t>CEETe</w:t>
      </w:r>
      <w:proofErr w:type="spellEnd"/>
      <w:r w:rsidRPr="00140B2E">
        <w:rPr>
          <w:rFonts w:cs="Times New Roman"/>
          <w:lang w:eastAsia="x-none"/>
        </w:rPr>
        <w:t>.</w:t>
      </w:r>
    </w:p>
    <w:p w14:paraId="2C3DA996" w14:textId="77777777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3C9A90EC" w14:textId="574FD225" w:rsidR="00140B2E" w:rsidRPr="00140B2E" w:rsidRDefault="00140B2E" w:rsidP="00140B2E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Předmětem dodávky této veřejné zakázky jsou následující objekty</w:t>
      </w:r>
    </w:p>
    <w:p w14:paraId="10B68926" w14:textId="77777777" w:rsidR="00140B2E" w:rsidRPr="00140B2E" w:rsidRDefault="00140B2E" w:rsidP="00140B2E">
      <w:pPr>
        <w:pStyle w:val="Odstavecseseznamem"/>
        <w:numPr>
          <w:ilvl w:val="0"/>
          <w:numId w:val="2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Hydroponická Laboratoř v provedení vertikální farmy (venkovní skleník)</w:t>
      </w:r>
    </w:p>
    <w:p w14:paraId="45B8415C" w14:textId="77777777" w:rsidR="00140B2E" w:rsidRPr="00140B2E" w:rsidRDefault="00140B2E" w:rsidP="00140B2E">
      <w:pPr>
        <w:pStyle w:val="Odstavecseseznamem"/>
        <w:numPr>
          <w:ilvl w:val="0"/>
          <w:numId w:val="2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Vzduchotechnika pro HL</w:t>
      </w:r>
    </w:p>
    <w:p w14:paraId="48B035FF" w14:textId="77777777" w:rsidR="00140B2E" w:rsidRPr="00140B2E" w:rsidRDefault="00140B2E" w:rsidP="00140B2E">
      <w:pPr>
        <w:pStyle w:val="Odstavecseseznamem"/>
        <w:numPr>
          <w:ilvl w:val="0"/>
          <w:numId w:val="2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 xml:space="preserve">Přívod CO2 </w:t>
      </w:r>
    </w:p>
    <w:p w14:paraId="2B144DBB" w14:textId="77777777" w:rsidR="00140B2E" w:rsidRPr="00140B2E" w:rsidRDefault="00140B2E" w:rsidP="00140B2E">
      <w:pPr>
        <w:pStyle w:val="Odstavecseseznamem"/>
        <w:numPr>
          <w:ilvl w:val="0"/>
          <w:numId w:val="2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Odvod / přívod tepla do místnosti</w:t>
      </w:r>
    </w:p>
    <w:p w14:paraId="44F6CD75" w14:textId="77777777" w:rsidR="00140B2E" w:rsidRPr="00140B2E" w:rsidRDefault="00140B2E" w:rsidP="00140B2E">
      <w:pPr>
        <w:pStyle w:val="Odstavecseseznamem"/>
        <w:numPr>
          <w:ilvl w:val="0"/>
          <w:numId w:val="21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Osvětlení místnosti</w:t>
      </w:r>
    </w:p>
    <w:p w14:paraId="19086453" w14:textId="77777777" w:rsid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4B34E921" w14:textId="035CC544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Předmětem této dodávky je dodávka, instalace, montáž, zprovoznění, testování celé provozní výbavy. Všechny níže popsané technologické části budou tvořit technologický celek, který bude dodán v rámci jediné ucelené dodávky a bude umožňovat provoz a chod instalovaných zařízení a přístrojů v HL dle specifikace.</w:t>
      </w:r>
    </w:p>
    <w:p w14:paraId="7B5FC49C" w14:textId="77777777" w:rsidR="00140B2E" w:rsidRDefault="00140B2E" w:rsidP="00140B2E">
      <w:pPr>
        <w:jc w:val="both"/>
      </w:pPr>
    </w:p>
    <w:p w14:paraId="6BD9590A" w14:textId="77777777" w:rsidR="00061962" w:rsidRPr="001E1308" w:rsidRDefault="00061962" w:rsidP="001A3683">
      <w:pPr>
        <w:suppressAutoHyphens w:val="0"/>
        <w:spacing w:line="240" w:lineRule="exact"/>
        <w:ind w:firstLine="340"/>
        <w:outlineLvl w:val="1"/>
        <w:rPr>
          <w:rFonts w:cs="Times New Roman"/>
          <w:lang w:eastAsia="x-none"/>
        </w:rPr>
      </w:pPr>
    </w:p>
    <w:p w14:paraId="092F1B33" w14:textId="52CC4B18" w:rsidR="00A816AC" w:rsidRPr="00F250F2" w:rsidRDefault="00C510EE" w:rsidP="00F250F2">
      <w:pPr>
        <w:pStyle w:val="Nadpis7"/>
      </w:pPr>
      <w:r w:rsidRPr="00F250F2">
        <w:t>POPIS TECHNICKÉHO ŘEŠENÍ</w:t>
      </w:r>
    </w:p>
    <w:p w14:paraId="0269BF80" w14:textId="02579751" w:rsidR="00140B2E" w:rsidRDefault="00140B2E" w:rsidP="00140B2E">
      <w:pPr>
        <w:rPr>
          <w:lang w:eastAsia="cs-CZ"/>
        </w:rPr>
      </w:pPr>
    </w:p>
    <w:p w14:paraId="65118BF7" w14:textId="77777777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 xml:space="preserve">HL je samostatná místnost ve formě skleníku s vybavením pro vertikální pěstování zeleniny a bylinek. Bude vybavena technologickým zařízením a přístrojovou technikou pro testování technologií spojených s vertikálním pěstováním v HL (Osvětlení, kontrolované vnitřní klimatické podmínky, míchání hnojiv atd.). Místnost je umístěna na třetím patře budovy </w:t>
      </w:r>
      <w:proofErr w:type="spellStart"/>
      <w:r w:rsidRPr="00140B2E">
        <w:rPr>
          <w:rFonts w:cs="Times New Roman"/>
          <w:lang w:eastAsia="x-none"/>
        </w:rPr>
        <w:t>CEETe</w:t>
      </w:r>
      <w:proofErr w:type="spellEnd"/>
      <w:r w:rsidRPr="00140B2E">
        <w:rPr>
          <w:rFonts w:cs="Times New Roman"/>
          <w:lang w:eastAsia="x-none"/>
        </w:rPr>
        <w:t>. Místnost je obdélníkového půdorysu s bočním vchodem o rozměrech cca 3 m x 6 m a výšky cca 4 metry.</w:t>
      </w:r>
    </w:p>
    <w:p w14:paraId="6D3366FB" w14:textId="77777777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Pro provozní větrání (pohyb vzduchu v místnosti rovnoměrně přes všechny sazenice) HL, udržení vnitřní teploty 19±2°C a vlhkosti mezi 50 – 70% bude sloužit vzduchotechnická jednotka (umístěná uvnitř skleníku).</w:t>
      </w:r>
    </w:p>
    <w:p w14:paraId="6802ACBC" w14:textId="68C4527F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Do skleníku bude možnost přivést plyn CO</w:t>
      </w:r>
      <w:r w:rsidRPr="00140B2E">
        <w:rPr>
          <w:rFonts w:cs="Times New Roman"/>
          <w:vertAlign w:val="subscript"/>
          <w:lang w:eastAsia="x-none"/>
        </w:rPr>
        <w:t>2</w:t>
      </w:r>
      <w:r w:rsidRPr="00140B2E">
        <w:rPr>
          <w:rFonts w:cs="Times New Roman"/>
          <w:lang w:eastAsia="x-none"/>
        </w:rPr>
        <w:t xml:space="preserve"> na základě naměřených hodnot v místnosti. Bude možné regulovat hladinu CO</w:t>
      </w:r>
      <w:r w:rsidRPr="00140B2E">
        <w:rPr>
          <w:rFonts w:cs="Times New Roman"/>
          <w:vertAlign w:val="subscript"/>
          <w:lang w:eastAsia="x-none"/>
        </w:rPr>
        <w:t>2</w:t>
      </w:r>
      <w:r w:rsidRPr="00140B2E">
        <w:rPr>
          <w:rFonts w:cs="Times New Roman"/>
          <w:lang w:eastAsia="x-none"/>
        </w:rPr>
        <w:t xml:space="preserve"> v místnosti. Tato funk</w:t>
      </w:r>
      <w:r>
        <w:rPr>
          <w:rFonts w:cs="Times New Roman"/>
          <w:lang w:eastAsia="x-none"/>
        </w:rPr>
        <w:t>ce</w:t>
      </w:r>
      <w:r w:rsidRPr="00140B2E">
        <w:rPr>
          <w:rFonts w:cs="Times New Roman"/>
          <w:lang w:eastAsia="x-none"/>
        </w:rPr>
        <w:t xml:space="preserve"> musí splňovat všechny s tím spojené bezpečnostní požadavky</w:t>
      </w:r>
      <w:r>
        <w:rPr>
          <w:rFonts w:cs="Times New Roman"/>
          <w:lang w:eastAsia="x-none"/>
        </w:rPr>
        <w:t xml:space="preserve"> dle platných ČSN</w:t>
      </w:r>
      <w:r w:rsidRPr="00140B2E">
        <w:rPr>
          <w:rFonts w:cs="Times New Roman"/>
          <w:lang w:eastAsia="x-none"/>
        </w:rPr>
        <w:t>.</w:t>
      </w:r>
    </w:p>
    <w:p w14:paraId="49A98462" w14:textId="75996214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Materiál skleníku je tvořen dvou vrstvým izolačním sklem, včetně elektricky ovládaného žaluziového systému, který bude automaticky regulovatelný (natáčení žaluzií) podle dostupných astronomických údajů. Regulace natáčení žaluzii bude propojena s vnitřní světelnou soustavou laboratoře pro regulování LED osvětlení po celou dobu růstu sazenic.</w:t>
      </w:r>
    </w:p>
    <w:p w14:paraId="07488683" w14:textId="77777777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Žaluziový systém je možné manuálně zatemnit, nebo otevřít a ponechat jej tak podle potřeby obsluhy.</w:t>
      </w:r>
    </w:p>
    <w:p w14:paraId="7554A1F0" w14:textId="0D13BC94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 xml:space="preserve">Osvětlení </w:t>
      </w:r>
      <w:r>
        <w:rPr>
          <w:rFonts w:cs="Times New Roman"/>
          <w:lang w:eastAsia="x-none"/>
        </w:rPr>
        <w:t>HL</w:t>
      </w:r>
      <w:r w:rsidRPr="00140B2E">
        <w:rPr>
          <w:rFonts w:cs="Times New Roman"/>
          <w:lang w:eastAsia="x-none"/>
        </w:rPr>
        <w:t xml:space="preserve"> budou zajišťovat stropní zářivky, které budou nezávislé na technologickém osvětlení sloužícím pro růst rostlin</w:t>
      </w:r>
      <w:r>
        <w:rPr>
          <w:rFonts w:cs="Times New Roman"/>
          <w:lang w:eastAsia="x-none"/>
        </w:rPr>
        <w:t>, návrh bude proveden dle platných ČSN</w:t>
      </w:r>
      <w:r w:rsidRPr="00140B2E">
        <w:rPr>
          <w:rFonts w:cs="Times New Roman"/>
          <w:lang w:eastAsia="x-none"/>
        </w:rPr>
        <w:t>.</w:t>
      </w:r>
    </w:p>
    <w:p w14:paraId="01B2DA6D" w14:textId="4F374CB1" w:rsidR="00140B2E" w:rsidRDefault="00140B2E" w:rsidP="00140B2E"/>
    <w:p w14:paraId="17861252" w14:textId="4E314CA5" w:rsidR="00140B2E" w:rsidRDefault="00140B2E" w:rsidP="00140B2E"/>
    <w:p w14:paraId="3328C4C1" w14:textId="77777777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 xml:space="preserve">Technologické osvětlení bude umístěno na každém patře regálového provedení hydroponického systému a u každé pěstební věže (hydroponický systém je dále specifikovaný níže v kapitole Prostor A </w:t>
      </w:r>
      <w:proofErr w:type="spellStart"/>
      <w:r w:rsidRPr="00140B2E">
        <w:rPr>
          <w:rFonts w:cs="Times New Roman"/>
          <w:lang w:eastAsia="x-none"/>
        </w:rPr>
        <w:t>a</w:t>
      </w:r>
      <w:proofErr w:type="spellEnd"/>
      <w:r w:rsidRPr="00140B2E">
        <w:rPr>
          <w:rFonts w:cs="Times New Roman"/>
          <w:lang w:eastAsia="x-none"/>
        </w:rPr>
        <w:t xml:space="preserve"> B). </w:t>
      </w:r>
    </w:p>
    <w:p w14:paraId="2132B002" w14:textId="77777777" w:rsidR="00140B2E" w:rsidRDefault="00140B2E" w:rsidP="00140B2E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3E10ECC4" w14:textId="5673528C" w:rsidR="00140B2E" w:rsidRPr="00140B2E" w:rsidRDefault="00140B2E" w:rsidP="00140B2E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Technologické osvětlení musí splňovat následující požadavky:</w:t>
      </w:r>
    </w:p>
    <w:p w14:paraId="2A57EE13" w14:textId="77777777" w:rsidR="00140B2E" w:rsidRDefault="00140B2E" w:rsidP="00140B2E">
      <w:pPr>
        <w:pStyle w:val="Odstavecseseznamem"/>
        <w:numPr>
          <w:ilvl w:val="0"/>
          <w:numId w:val="22"/>
        </w:numPr>
        <w:suppressAutoHyphens w:val="0"/>
        <w:spacing w:after="160" w:line="259" w:lineRule="auto"/>
        <w:contextualSpacing/>
      </w:pPr>
      <w:r>
        <w:t xml:space="preserve">Regulovatelnost fotoaktivní radiace + spektra podle naměřených hodnot v místnosti. </w:t>
      </w:r>
    </w:p>
    <w:p w14:paraId="0A5524B3" w14:textId="77777777" w:rsidR="00140B2E" w:rsidRDefault="00140B2E" w:rsidP="00140B2E">
      <w:pPr>
        <w:pStyle w:val="Odstavecseseznamem"/>
        <w:numPr>
          <w:ilvl w:val="0"/>
          <w:numId w:val="22"/>
        </w:numPr>
        <w:suppressAutoHyphens w:val="0"/>
        <w:spacing w:after="160" w:line="259" w:lineRule="auto"/>
        <w:contextualSpacing/>
      </w:pPr>
      <w:r>
        <w:t>Regulovatelnost PAR – fotosyntetické oblasti světla pro rostliny</w:t>
      </w:r>
    </w:p>
    <w:p w14:paraId="7F6D99AD" w14:textId="77777777" w:rsidR="00140B2E" w:rsidRPr="007B5BC5" w:rsidRDefault="00140B2E" w:rsidP="00140B2E">
      <w:pPr>
        <w:pStyle w:val="Odstavecseseznamem"/>
        <w:numPr>
          <w:ilvl w:val="0"/>
          <w:numId w:val="22"/>
        </w:numPr>
        <w:suppressAutoHyphens w:val="0"/>
        <w:spacing w:after="160" w:line="259" w:lineRule="auto"/>
        <w:contextualSpacing/>
      </w:pPr>
      <w:r>
        <w:t>Regulování osvětlení na základě vnějšího osvětlení (slunce) a podle natočení žaluzií na stěnách a stropě skleníku.</w:t>
      </w:r>
    </w:p>
    <w:p w14:paraId="2AAD79F6" w14:textId="77777777" w:rsidR="00140B2E" w:rsidRDefault="00140B2E" w:rsidP="00140B2E">
      <w:pPr>
        <w:pStyle w:val="Odstavecseseznamem"/>
        <w:numPr>
          <w:ilvl w:val="0"/>
          <w:numId w:val="22"/>
        </w:numPr>
        <w:suppressAutoHyphens w:val="0"/>
        <w:spacing w:after="160" w:line="259" w:lineRule="auto"/>
        <w:contextualSpacing/>
      </w:pPr>
      <w:r w:rsidRPr="00171D79">
        <w:lastRenderedPageBreak/>
        <w:t>S osvětlením se dá manipulovat. V případě poruchy, výměny, nebo při potřebě testování dalších druhů osvětlení je možnost výměny světel obsluhou.</w:t>
      </w:r>
      <w:r>
        <w:t xml:space="preserve"> </w:t>
      </w:r>
    </w:p>
    <w:p w14:paraId="5C2C8C6F" w14:textId="2B4CF874" w:rsidR="00140B2E" w:rsidRPr="00171D79" w:rsidRDefault="00140B2E" w:rsidP="00140B2E">
      <w:pPr>
        <w:pStyle w:val="Odstavecseseznamem"/>
        <w:numPr>
          <w:ilvl w:val="0"/>
          <w:numId w:val="22"/>
        </w:numPr>
        <w:suppressAutoHyphens w:val="0"/>
        <w:spacing w:after="160" w:line="259" w:lineRule="auto"/>
        <w:contextualSpacing/>
      </w:pPr>
      <w:r>
        <w:t>Bude rozdělené na 3 oddělené bloky. Jeden blok pro regálový hydroponický systém, druhý blok pro věžový hydroponický systém, a třetí blok pro osvětlení v </w:t>
      </w:r>
      <w:proofErr w:type="spellStart"/>
      <w:r>
        <w:t>seedboxu</w:t>
      </w:r>
      <w:proofErr w:type="spellEnd"/>
      <w:r>
        <w:t xml:space="preserve"> v době, kdy se na sazenicích objeví první pravé listy.</w:t>
      </w:r>
    </w:p>
    <w:p w14:paraId="5A0AF39B" w14:textId="77777777" w:rsidR="00F250F2" w:rsidRPr="00F250F2" w:rsidRDefault="00F250F2" w:rsidP="00F250F2">
      <w:pPr>
        <w:pStyle w:val="Nadpis7"/>
      </w:pPr>
      <w:r w:rsidRPr="00F250F2">
        <w:t>Technické parametry</w:t>
      </w:r>
    </w:p>
    <w:p w14:paraId="341475C3" w14:textId="390A4522" w:rsidR="00140B2E" w:rsidRDefault="00140B2E" w:rsidP="00F250F2">
      <w:pPr>
        <w:pStyle w:val="Nadpis7"/>
        <w:numPr>
          <w:ilvl w:val="0"/>
          <w:numId w:val="0"/>
        </w:numPr>
      </w:pPr>
      <w:r>
        <w:t>Vnitřní uspořádání</w:t>
      </w:r>
    </w:p>
    <w:p w14:paraId="0FF681D9" w14:textId="77777777" w:rsidR="00140B2E" w:rsidRDefault="00140B2E" w:rsidP="00140B2E">
      <w:r>
        <w:t>Vnitřní uspořádání je rozdělené do dvou bloků, které jsou navzájem průchodné.</w:t>
      </w:r>
    </w:p>
    <w:p w14:paraId="7EE02AA9" w14:textId="77777777" w:rsidR="00140B2E" w:rsidRDefault="00140B2E" w:rsidP="00140B2E">
      <w:pPr>
        <w:pStyle w:val="Nadpis2"/>
      </w:pPr>
      <w:r>
        <w:t xml:space="preserve">Prostor A: </w:t>
      </w:r>
    </w:p>
    <w:p w14:paraId="78D18483" w14:textId="2D6CC49A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Pro předpěstění a přípravu sazenic (</w:t>
      </w:r>
      <w:proofErr w:type="spellStart"/>
      <w:r w:rsidRPr="00140B2E">
        <w:rPr>
          <w:rFonts w:cs="Times New Roman"/>
          <w:lang w:eastAsia="x-none"/>
        </w:rPr>
        <w:t>Seedbox</w:t>
      </w:r>
      <w:proofErr w:type="spellEnd"/>
      <w:r w:rsidRPr="00140B2E">
        <w:rPr>
          <w:rFonts w:cs="Times New Roman"/>
          <w:lang w:eastAsia="x-none"/>
        </w:rPr>
        <w:t>): 1,5x1,5x4 m. Prostor s šesti patry pro klíčení v temném prostoru (blackout) s automatickým zavlažováním a dávkováním živin. V počátečním stádiu není potřeba dodávat živiny, ale v momentě, kdy se objeví první pravé listy, tak je potřeba dodat živiny i v </w:t>
      </w:r>
      <w:proofErr w:type="spellStart"/>
      <w:r w:rsidRPr="00140B2E">
        <w:rPr>
          <w:rFonts w:cs="Times New Roman"/>
          <w:lang w:eastAsia="x-none"/>
        </w:rPr>
        <w:t>klíč</w:t>
      </w:r>
      <w:r>
        <w:rPr>
          <w:rFonts w:cs="Times New Roman"/>
          <w:lang w:eastAsia="x-none"/>
        </w:rPr>
        <w:t>i</w:t>
      </w:r>
      <w:r w:rsidRPr="00140B2E">
        <w:rPr>
          <w:rFonts w:cs="Times New Roman"/>
          <w:lang w:eastAsia="x-none"/>
        </w:rPr>
        <w:t>cím</w:t>
      </w:r>
      <w:proofErr w:type="spellEnd"/>
      <w:r w:rsidRPr="00140B2E">
        <w:rPr>
          <w:rFonts w:cs="Times New Roman"/>
          <w:lang w:eastAsia="x-none"/>
        </w:rPr>
        <w:t xml:space="preserve"> prostoru, kde se následně sepnou světla, dokud rostlina nepoporoste do stadia, kdy potřebuje přesazení do hlavního hydroponického systému. </w:t>
      </w:r>
    </w:p>
    <w:p w14:paraId="18D57DD1" w14:textId="7E9A5AE8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Možnost regulace teploty 19±2°C a vlhkosti mezi 50 – 70%. Regulace osvětlení v potřebném spektru a teplotě. Automatické zavlažování a dávkování živin. Vše propojené s říd</w:t>
      </w:r>
      <w:r>
        <w:rPr>
          <w:rFonts w:cs="Times New Roman"/>
          <w:lang w:eastAsia="x-none"/>
        </w:rPr>
        <w:t>i</w:t>
      </w:r>
      <w:r w:rsidRPr="00140B2E">
        <w:rPr>
          <w:rFonts w:cs="Times New Roman"/>
          <w:lang w:eastAsia="x-none"/>
        </w:rPr>
        <w:t>cím systémem skleníku a hlavním systémem budovy.</w:t>
      </w:r>
    </w:p>
    <w:p w14:paraId="3867E16B" w14:textId="77777777" w:rsid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514887E0" w14:textId="3997BF99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 xml:space="preserve">Pěstební plocha bude </w:t>
      </w:r>
      <w:r>
        <w:rPr>
          <w:rFonts w:cs="Times New Roman"/>
          <w:lang w:eastAsia="x-none"/>
        </w:rPr>
        <w:t xml:space="preserve">cca </w:t>
      </w:r>
      <w:r w:rsidRPr="00140B2E">
        <w:rPr>
          <w:rFonts w:cs="Times New Roman"/>
          <w:lang w:eastAsia="x-none"/>
        </w:rPr>
        <w:t>20 m</w:t>
      </w:r>
      <w:r w:rsidRPr="00140B2E">
        <w:rPr>
          <w:rFonts w:cs="Times New Roman"/>
          <w:vertAlign w:val="superscript"/>
          <w:lang w:eastAsia="x-none"/>
        </w:rPr>
        <w:t>2</w:t>
      </w:r>
      <w:r w:rsidRPr="00140B2E">
        <w:rPr>
          <w:rFonts w:cs="Times New Roman"/>
          <w:lang w:eastAsia="x-none"/>
        </w:rPr>
        <w:t>.</w:t>
      </w:r>
    </w:p>
    <w:p w14:paraId="66918B1E" w14:textId="77777777" w:rsidR="00140B2E" w:rsidRDefault="00140B2E" w:rsidP="00140B2E">
      <w:pPr>
        <w:pStyle w:val="Nadpis2"/>
      </w:pPr>
      <w:r>
        <w:t>Prostor B:</w:t>
      </w:r>
    </w:p>
    <w:p w14:paraId="7892E991" w14:textId="77777777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Samotný hydroponický systém: 3x4,5x4 m. Prostor pro hydroponický systém se světly a prostorem pro obsluhu.</w:t>
      </w:r>
    </w:p>
    <w:p w14:paraId="7C76A363" w14:textId="77777777" w:rsid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3717608E" w14:textId="64BB31E9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Prostor B bude rozdělen do dvou část</w:t>
      </w:r>
      <w:r>
        <w:rPr>
          <w:rFonts w:cs="Times New Roman"/>
          <w:lang w:eastAsia="x-none"/>
        </w:rPr>
        <w:t>í</w:t>
      </w:r>
      <w:r w:rsidRPr="00140B2E">
        <w:rPr>
          <w:rFonts w:cs="Times New Roman"/>
          <w:lang w:eastAsia="x-none"/>
        </w:rPr>
        <w:t xml:space="preserve">: </w:t>
      </w:r>
    </w:p>
    <w:p w14:paraId="16DFEB40" w14:textId="77777777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Strana A: Strana místnosti bude v uspořádání pěstírny s nerezovým regálovým hydroponickým systémem se čtyřmi pěstebními patry do výšky dvou metrů, s LED pěstebním horizontálním osvětlením pro celoroční efektivní produkci zeleniny buď s kombinací přírodního a umělého světla a s možností pěstování bez přírodního světla.</w:t>
      </w:r>
    </w:p>
    <w:p w14:paraId="2750AA8D" w14:textId="77777777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Strana B: Strana místnosti s uspořádáním pěstírny s pěstebními věžemi z vhodného atestovaného materiálu pro potravinový průmysl s LED vertikálním osvětlením pro celoroční efektivní produkci zeleniny buď s kombinací přírodního a umělého světla a s možností pěstování bez přírodního světla.</w:t>
      </w:r>
    </w:p>
    <w:p w14:paraId="5CABB4D1" w14:textId="3FBB29F2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Dvě, nebo tři řady věží</w:t>
      </w:r>
      <w:r>
        <w:rPr>
          <w:rFonts w:cs="Times New Roman"/>
          <w:lang w:eastAsia="x-none"/>
        </w:rPr>
        <w:t>,</w:t>
      </w:r>
      <w:r w:rsidRPr="00140B2E">
        <w:rPr>
          <w:rFonts w:cs="Times New Roman"/>
          <w:lang w:eastAsia="x-none"/>
        </w:rPr>
        <w:t xml:space="preserve"> do kterých se dá sadit ze dvou stran a s osvětlením z obou stran.</w:t>
      </w:r>
    </w:p>
    <w:p w14:paraId="29440A0A" w14:textId="77777777" w:rsid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4244AEB6" w14:textId="700274B4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 xml:space="preserve">Pěstební plocha bude </w:t>
      </w:r>
      <w:r>
        <w:rPr>
          <w:rFonts w:cs="Times New Roman"/>
          <w:lang w:eastAsia="x-none"/>
        </w:rPr>
        <w:t xml:space="preserve">cca </w:t>
      </w:r>
      <w:r w:rsidRPr="00140B2E">
        <w:rPr>
          <w:rFonts w:cs="Times New Roman"/>
          <w:lang w:eastAsia="x-none"/>
        </w:rPr>
        <w:t>20 m</w:t>
      </w:r>
      <w:r w:rsidRPr="00140B2E">
        <w:rPr>
          <w:rFonts w:cs="Times New Roman"/>
          <w:vertAlign w:val="superscript"/>
          <w:lang w:eastAsia="x-none"/>
        </w:rPr>
        <w:t>2</w:t>
      </w:r>
      <w:r w:rsidRPr="00140B2E">
        <w:rPr>
          <w:rFonts w:cs="Times New Roman"/>
          <w:lang w:eastAsia="x-none"/>
        </w:rPr>
        <w:t>.</w:t>
      </w:r>
    </w:p>
    <w:p w14:paraId="5FEF4E76" w14:textId="75347582" w:rsidR="00140B2E" w:rsidRDefault="00F250F2" w:rsidP="00F250F2">
      <w:pPr>
        <w:pStyle w:val="Nadpis7"/>
        <w:numPr>
          <w:ilvl w:val="0"/>
          <w:numId w:val="0"/>
        </w:numPr>
      </w:pPr>
      <w:r>
        <w:t>Přivedená média do místnosti</w:t>
      </w:r>
    </w:p>
    <w:p w14:paraId="7AA1F69B" w14:textId="35FD1F5E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Přívod vody pro klíč</w:t>
      </w:r>
      <w:r>
        <w:rPr>
          <w:rFonts w:cs="Times New Roman"/>
          <w:lang w:eastAsia="x-none"/>
        </w:rPr>
        <w:t>i</w:t>
      </w:r>
      <w:r w:rsidRPr="00140B2E">
        <w:rPr>
          <w:rFonts w:cs="Times New Roman"/>
          <w:lang w:eastAsia="x-none"/>
        </w:rPr>
        <w:t>cí prostor a dva pěst</w:t>
      </w:r>
      <w:r>
        <w:rPr>
          <w:rFonts w:cs="Times New Roman"/>
          <w:lang w:eastAsia="x-none"/>
        </w:rPr>
        <w:t>ební</w:t>
      </w:r>
      <w:r w:rsidRPr="00140B2E">
        <w:rPr>
          <w:rFonts w:cs="Times New Roman"/>
          <w:lang w:eastAsia="x-none"/>
        </w:rPr>
        <w:t xml:space="preserve"> prostory. 3 </w:t>
      </w:r>
      <w:r>
        <w:rPr>
          <w:rFonts w:cs="Times New Roman"/>
          <w:lang w:eastAsia="x-none"/>
        </w:rPr>
        <w:t>p</w:t>
      </w:r>
      <w:r w:rsidRPr="00140B2E">
        <w:rPr>
          <w:rFonts w:cs="Times New Roman"/>
          <w:lang w:eastAsia="x-none"/>
        </w:rPr>
        <w:t xml:space="preserve">řívody vody v rozích skleníku, které se dají ovládat nezávisle. Ve skleníku tak budou 3 okruhy, jeden pro regálový hydroponický systém, jeden pro pěstební věže a jeden pro </w:t>
      </w:r>
      <w:proofErr w:type="spellStart"/>
      <w:r w:rsidRPr="00140B2E">
        <w:rPr>
          <w:rFonts w:cs="Times New Roman"/>
          <w:lang w:eastAsia="x-none"/>
        </w:rPr>
        <w:t>seed</w:t>
      </w:r>
      <w:proofErr w:type="spellEnd"/>
      <w:r w:rsidRPr="00140B2E">
        <w:rPr>
          <w:rFonts w:cs="Times New Roman"/>
          <w:lang w:eastAsia="x-none"/>
        </w:rPr>
        <w:t xml:space="preserve"> box. Tyto okruhy budou na sobě nezávislé, umožňující samostatné regulování. </w:t>
      </w:r>
      <w:r>
        <w:rPr>
          <w:rFonts w:cs="Times New Roman"/>
          <w:lang w:eastAsia="x-none"/>
        </w:rPr>
        <w:t>Místnost bude vybavena o</w:t>
      </w:r>
      <w:r w:rsidRPr="00140B2E">
        <w:rPr>
          <w:rFonts w:cs="Times New Roman"/>
          <w:lang w:eastAsia="x-none"/>
        </w:rPr>
        <w:t>dtok</w:t>
      </w:r>
      <w:r>
        <w:rPr>
          <w:rFonts w:cs="Times New Roman"/>
          <w:lang w:eastAsia="x-none"/>
        </w:rPr>
        <w:t>em</w:t>
      </w:r>
      <w:r w:rsidRPr="00140B2E">
        <w:rPr>
          <w:rFonts w:cs="Times New Roman"/>
          <w:lang w:eastAsia="x-none"/>
        </w:rPr>
        <w:t xml:space="preserve"> vody</w:t>
      </w:r>
      <w:r>
        <w:rPr>
          <w:rFonts w:cs="Times New Roman"/>
          <w:lang w:eastAsia="x-none"/>
        </w:rPr>
        <w:t xml:space="preserve"> s ochranou pro zamrznutí.</w:t>
      </w:r>
      <w:r w:rsidRPr="00140B2E">
        <w:rPr>
          <w:rFonts w:cs="Times New Roman"/>
          <w:lang w:eastAsia="x-none"/>
        </w:rPr>
        <w:t xml:space="preserve"> </w:t>
      </w:r>
    </w:p>
    <w:p w14:paraId="327E8E2C" w14:textId="77777777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Automatická úprava závlahové vody (živného roztoku) - ovládání dopouštění, měření a regulace teploty, měření a dávkování pH, EC, (DOC, ORP), dávkování hnojiva – napojeno na centrální SW se vzdálenou správou z centrálního systému. Živný roztok bude také ve třech okruzích, stejně jako přívody vody.</w:t>
      </w:r>
    </w:p>
    <w:p w14:paraId="3C20FD2F" w14:textId="77777777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 xml:space="preserve">Nádrž vody v místnosti, ve které dochází k úpravě závlahové vody (živného roztoku) </w:t>
      </w:r>
    </w:p>
    <w:p w14:paraId="589DCDB0" w14:textId="77777777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Přívod vzduchu s regulací. Ventilace, klimatizace, topení, odvlhčování – se zpětným využitím vody, rekuperace. Rovnoměrný rozvod vzduchu do všech pěstebních pater / věží / místnosti.</w:t>
      </w:r>
    </w:p>
    <w:p w14:paraId="38E8BC12" w14:textId="48FA9068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Přívod CO</w:t>
      </w:r>
      <w:r w:rsidRPr="00140B2E">
        <w:rPr>
          <w:rFonts w:cs="Times New Roman"/>
          <w:vertAlign w:val="superscript"/>
          <w:lang w:eastAsia="x-none"/>
        </w:rPr>
        <w:t>2</w:t>
      </w:r>
      <w:r w:rsidRPr="00140B2E">
        <w:rPr>
          <w:rFonts w:cs="Times New Roman"/>
          <w:lang w:eastAsia="x-none"/>
        </w:rPr>
        <w:t xml:space="preserve"> s</w:t>
      </w:r>
      <w:r>
        <w:rPr>
          <w:rFonts w:cs="Times New Roman"/>
          <w:lang w:eastAsia="x-none"/>
        </w:rPr>
        <w:t xml:space="preserve"> možností </w:t>
      </w:r>
      <w:r w:rsidRPr="00140B2E">
        <w:rPr>
          <w:rFonts w:cs="Times New Roman"/>
          <w:lang w:eastAsia="x-none"/>
        </w:rPr>
        <w:t>regulac</w:t>
      </w:r>
      <w:r>
        <w:rPr>
          <w:rFonts w:cs="Times New Roman"/>
          <w:lang w:eastAsia="x-none"/>
        </w:rPr>
        <w:t>e koncentrace</w:t>
      </w:r>
      <w:r w:rsidRPr="00140B2E">
        <w:rPr>
          <w:rFonts w:cs="Times New Roman"/>
          <w:lang w:eastAsia="x-none"/>
        </w:rPr>
        <w:t>. Možnost měření a dávkování CO</w:t>
      </w:r>
      <w:r w:rsidRPr="00140B2E">
        <w:rPr>
          <w:rFonts w:cs="Times New Roman"/>
          <w:vertAlign w:val="superscript"/>
          <w:lang w:eastAsia="x-none"/>
        </w:rPr>
        <w:t>2</w:t>
      </w:r>
      <w:r w:rsidRPr="00140B2E">
        <w:rPr>
          <w:rFonts w:cs="Times New Roman"/>
          <w:lang w:eastAsia="x-none"/>
        </w:rPr>
        <w:t xml:space="preserve"> z tlakových láhví – napojeno na centrální SW se vzdálenou správou. </w:t>
      </w:r>
    </w:p>
    <w:p w14:paraId="5383BDED" w14:textId="77777777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 xml:space="preserve">Přívod elektřiny pro napájení elektrických strojů a přístrojů. </w:t>
      </w:r>
    </w:p>
    <w:p w14:paraId="001A2091" w14:textId="77777777" w:rsidR="00140B2E" w:rsidRDefault="00140B2E" w:rsidP="00140B2E"/>
    <w:p w14:paraId="05600AA2" w14:textId="65825A9A" w:rsidR="00140B2E" w:rsidRDefault="00F250F2" w:rsidP="00F250F2">
      <w:pPr>
        <w:pStyle w:val="Nadpis7"/>
        <w:numPr>
          <w:ilvl w:val="0"/>
          <w:numId w:val="0"/>
        </w:numPr>
      </w:pPr>
      <w:r>
        <w:lastRenderedPageBreak/>
        <w:t>Použité materiály</w:t>
      </w:r>
    </w:p>
    <w:p w14:paraId="5084A5EB" w14:textId="77777777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Provedení veškerých plastových částí (věže, nádrže, jímka atd..) bílý PP s chemickou odolností a potravinářským atestem. Potrubí bude z materiálu PP-H světlé barvy s chemickou odolností a potravinovým atestem.</w:t>
      </w:r>
    </w:p>
    <w:p w14:paraId="0BDE1202" w14:textId="77777777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Závlahové čerpadlo s frekvenčním měničem (regulace otáček) z anti korozivní oceli, ovládací prvky (ventily atd.) z anti korozivní oceli. Předpokládá se průmyslové provedení, membránová dávkovací čerpadla, elektromagnetické ventily, závlahová čerpadla, vzduchování, filtrace vody s automatickým proplachem</w:t>
      </w:r>
    </w:p>
    <w:p w14:paraId="61659E0E" w14:textId="77777777" w:rsidR="00140B2E" w:rsidRDefault="00140B2E" w:rsidP="00140B2E"/>
    <w:p w14:paraId="126D7C4B" w14:textId="77777777" w:rsidR="00140B2E" w:rsidRDefault="00140B2E" w:rsidP="00F250F2">
      <w:pPr>
        <w:pStyle w:val="Nadpis7"/>
        <w:numPr>
          <w:ilvl w:val="0"/>
          <w:numId w:val="0"/>
        </w:numPr>
      </w:pPr>
      <w:r w:rsidRPr="0051441C">
        <w:t xml:space="preserve">Měřené </w:t>
      </w:r>
      <w:r>
        <w:t xml:space="preserve">a regulované </w:t>
      </w:r>
      <w:r w:rsidRPr="0051441C">
        <w:t>veličiny</w:t>
      </w:r>
    </w:p>
    <w:p w14:paraId="0D4610BB" w14:textId="77777777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Hydroponická laboratoř bude vybavená čidly pro měření níže uvedených veličin (včetně veličin uvedených v předešlém textu):</w:t>
      </w:r>
    </w:p>
    <w:p w14:paraId="53FC9459" w14:textId="77777777" w:rsidR="00140B2E" w:rsidRPr="00140B2E" w:rsidRDefault="00140B2E" w:rsidP="00140B2E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Teplota místnosti (měřit homogenně po celé místnosti) – regulována</w:t>
      </w:r>
    </w:p>
    <w:p w14:paraId="1BD3FFF0" w14:textId="77777777" w:rsidR="00140B2E" w:rsidRPr="00140B2E" w:rsidRDefault="00140B2E" w:rsidP="00140B2E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 xml:space="preserve">Teplota živného roztoku (v každé věži a v každém patře) – regulována </w:t>
      </w:r>
    </w:p>
    <w:p w14:paraId="2F0E595A" w14:textId="77777777" w:rsidR="00140B2E" w:rsidRPr="00140B2E" w:rsidRDefault="00140B2E" w:rsidP="00140B2E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Vlhkost (měřit homogenně po celé místnosti) – regulována</w:t>
      </w:r>
    </w:p>
    <w:p w14:paraId="5486B041" w14:textId="77777777" w:rsidR="00140B2E" w:rsidRPr="00140B2E" w:rsidRDefault="00140B2E" w:rsidP="00140B2E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CO</w:t>
      </w:r>
      <w:r w:rsidRPr="00140B2E">
        <w:rPr>
          <w:rFonts w:cs="Times New Roman"/>
          <w:vertAlign w:val="subscript"/>
          <w:lang w:eastAsia="x-none"/>
        </w:rPr>
        <w:t>2</w:t>
      </w:r>
      <w:r w:rsidRPr="00140B2E">
        <w:rPr>
          <w:rFonts w:cs="Times New Roman"/>
          <w:lang w:eastAsia="x-none"/>
        </w:rPr>
        <w:t xml:space="preserve"> – (měřeno homogenně v oblasti všech rostlin) regulováno </w:t>
      </w:r>
    </w:p>
    <w:p w14:paraId="4E24904B" w14:textId="77777777" w:rsidR="00140B2E" w:rsidRPr="00140B2E" w:rsidRDefault="00140B2E" w:rsidP="00140B2E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 xml:space="preserve">pH – (Měřeno v každém patře a každé věži) regulováno </w:t>
      </w:r>
    </w:p>
    <w:p w14:paraId="6BC06F8D" w14:textId="77777777" w:rsidR="00140B2E" w:rsidRPr="00140B2E" w:rsidRDefault="00140B2E" w:rsidP="00140B2E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 xml:space="preserve">EC (elektrická vodivost roztoku) – regulováno </w:t>
      </w:r>
    </w:p>
    <w:p w14:paraId="50845A0D" w14:textId="77777777" w:rsidR="00140B2E" w:rsidRPr="00140B2E" w:rsidRDefault="00140B2E" w:rsidP="00140B2E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DOC (</w:t>
      </w:r>
      <w:proofErr w:type="spellStart"/>
      <w:r w:rsidRPr="00140B2E">
        <w:rPr>
          <w:rFonts w:cs="Times New Roman"/>
          <w:lang w:eastAsia="x-none"/>
        </w:rPr>
        <w:t>Dissolved</w:t>
      </w:r>
      <w:proofErr w:type="spellEnd"/>
      <w:r w:rsidRPr="00140B2E">
        <w:rPr>
          <w:rFonts w:cs="Times New Roman"/>
          <w:lang w:eastAsia="x-none"/>
        </w:rPr>
        <w:t xml:space="preserve"> </w:t>
      </w:r>
      <w:proofErr w:type="spellStart"/>
      <w:r w:rsidRPr="00140B2E">
        <w:rPr>
          <w:rFonts w:cs="Times New Roman"/>
          <w:lang w:eastAsia="x-none"/>
        </w:rPr>
        <w:t>Organic</w:t>
      </w:r>
      <w:proofErr w:type="spellEnd"/>
      <w:r w:rsidRPr="00140B2E">
        <w:rPr>
          <w:rFonts w:cs="Times New Roman"/>
          <w:lang w:eastAsia="x-none"/>
        </w:rPr>
        <w:t xml:space="preserve"> </w:t>
      </w:r>
      <w:proofErr w:type="spellStart"/>
      <w:r w:rsidRPr="00140B2E">
        <w:rPr>
          <w:rFonts w:cs="Times New Roman"/>
          <w:lang w:eastAsia="x-none"/>
        </w:rPr>
        <w:t>Carbon</w:t>
      </w:r>
      <w:proofErr w:type="spellEnd"/>
      <w:r w:rsidRPr="00140B2E">
        <w:rPr>
          <w:rFonts w:cs="Times New Roman"/>
          <w:lang w:eastAsia="x-none"/>
        </w:rPr>
        <w:t>) – regulováno (zabraňuje nedostatečnému prokysličení)</w:t>
      </w:r>
    </w:p>
    <w:p w14:paraId="007F78DF" w14:textId="77777777" w:rsidR="00140B2E" w:rsidRPr="00140B2E" w:rsidRDefault="00140B2E" w:rsidP="00140B2E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ORP (</w:t>
      </w:r>
      <w:proofErr w:type="spellStart"/>
      <w:r w:rsidRPr="00140B2E">
        <w:rPr>
          <w:rFonts w:cs="Times New Roman"/>
          <w:lang w:eastAsia="x-none"/>
        </w:rPr>
        <w:t>Oxidation</w:t>
      </w:r>
      <w:proofErr w:type="spellEnd"/>
      <w:r w:rsidRPr="00140B2E">
        <w:rPr>
          <w:rFonts w:cs="Times New Roman"/>
          <w:lang w:eastAsia="x-none"/>
        </w:rPr>
        <w:t xml:space="preserve"> </w:t>
      </w:r>
      <w:proofErr w:type="spellStart"/>
      <w:r w:rsidRPr="00140B2E">
        <w:rPr>
          <w:rFonts w:cs="Times New Roman"/>
          <w:lang w:eastAsia="x-none"/>
        </w:rPr>
        <w:t>Reduction</w:t>
      </w:r>
      <w:proofErr w:type="spellEnd"/>
      <w:r w:rsidRPr="00140B2E">
        <w:rPr>
          <w:rFonts w:cs="Times New Roman"/>
          <w:lang w:eastAsia="x-none"/>
        </w:rPr>
        <w:t xml:space="preserve"> </w:t>
      </w:r>
      <w:proofErr w:type="spellStart"/>
      <w:r w:rsidRPr="00140B2E">
        <w:rPr>
          <w:rFonts w:cs="Times New Roman"/>
          <w:lang w:eastAsia="x-none"/>
        </w:rPr>
        <w:t>Potential</w:t>
      </w:r>
      <w:proofErr w:type="spellEnd"/>
      <w:r w:rsidRPr="00140B2E">
        <w:rPr>
          <w:rFonts w:cs="Times New Roman"/>
          <w:lang w:eastAsia="x-none"/>
        </w:rPr>
        <w:t>) – regulováno (zabraňuje hnilobě kořenů a infekcím rostlin)</w:t>
      </w:r>
    </w:p>
    <w:p w14:paraId="354CB5D0" w14:textId="77777777" w:rsidR="00140B2E" w:rsidRPr="00140B2E" w:rsidRDefault="00140B2E" w:rsidP="00140B2E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Fotoaktivní radiace (PAR) – regulováno v závislosti na ovládání žaluzií a regulaci osvětlení</w:t>
      </w:r>
    </w:p>
    <w:p w14:paraId="5AE7CC3F" w14:textId="77777777" w:rsidR="00140B2E" w:rsidRPr="00140B2E" w:rsidRDefault="00140B2E" w:rsidP="00140B2E">
      <w:pPr>
        <w:pStyle w:val="Odstavecseseznamem"/>
        <w:numPr>
          <w:ilvl w:val="0"/>
          <w:numId w:val="23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Světelné spektrum – záznam hodnot + regulace</w:t>
      </w:r>
    </w:p>
    <w:p w14:paraId="09937082" w14:textId="77777777" w:rsidR="00140B2E" w:rsidRDefault="00140B2E" w:rsidP="00140B2E"/>
    <w:p w14:paraId="784FDE53" w14:textId="4ECC0553" w:rsidR="00140B2E" w:rsidRDefault="00140B2E" w:rsidP="00140B2E">
      <w:pPr>
        <w:jc w:val="both"/>
      </w:pPr>
      <w:r>
        <w:t>Všechny hodnoty budou mít možnost záznamu a jejich zobrazení v DCS.</w:t>
      </w:r>
    </w:p>
    <w:p w14:paraId="2B1111B6" w14:textId="77777777" w:rsidR="00140B2E" w:rsidRDefault="00140B2E" w:rsidP="00140B2E"/>
    <w:p w14:paraId="48E13AD3" w14:textId="463B9EB8" w:rsidR="00140B2E" w:rsidRDefault="00140B2E" w:rsidP="00F250F2">
      <w:pPr>
        <w:pStyle w:val="Nadpis7"/>
        <w:numPr>
          <w:ilvl w:val="0"/>
          <w:numId w:val="0"/>
        </w:numPr>
      </w:pPr>
      <w:r>
        <w:t>Řídi</w:t>
      </w:r>
      <w:r w:rsidR="00F250F2">
        <w:t>cí systém</w:t>
      </w:r>
    </w:p>
    <w:p w14:paraId="039A83FA" w14:textId="5328775B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 xml:space="preserve">Všechny měřené a regulované veličiny budou </w:t>
      </w:r>
      <w:r>
        <w:rPr>
          <w:rFonts w:cs="Times New Roman"/>
          <w:lang w:eastAsia="x-none"/>
        </w:rPr>
        <w:t>integrovány</w:t>
      </w:r>
      <w:r w:rsidRPr="00140B2E">
        <w:rPr>
          <w:rFonts w:cs="Times New Roman"/>
          <w:lang w:eastAsia="x-none"/>
        </w:rPr>
        <w:t xml:space="preserve"> na říd</w:t>
      </w:r>
      <w:r>
        <w:rPr>
          <w:rFonts w:cs="Times New Roman"/>
          <w:lang w:eastAsia="x-none"/>
        </w:rPr>
        <w:t>i</w:t>
      </w:r>
      <w:r w:rsidRPr="00140B2E">
        <w:rPr>
          <w:rFonts w:cs="Times New Roman"/>
          <w:lang w:eastAsia="x-none"/>
        </w:rPr>
        <w:t>cí systém hydroponické laboratoře (závlaha, úprava živného roztoku, osvětlení, klimatizace, zastínění atd.) s možností vzdáleného monitoringu a ovládání. Říd</w:t>
      </w:r>
      <w:r>
        <w:rPr>
          <w:rFonts w:cs="Times New Roman"/>
          <w:lang w:eastAsia="x-none"/>
        </w:rPr>
        <w:t>i</w:t>
      </w:r>
      <w:r w:rsidRPr="00140B2E">
        <w:rPr>
          <w:rFonts w:cs="Times New Roman"/>
          <w:lang w:eastAsia="x-none"/>
        </w:rPr>
        <w:t>cí systém skleníku bude integrovaný do říd</w:t>
      </w:r>
      <w:r>
        <w:rPr>
          <w:rFonts w:cs="Times New Roman"/>
          <w:lang w:eastAsia="x-none"/>
        </w:rPr>
        <w:t>i</w:t>
      </w:r>
      <w:r w:rsidRPr="00140B2E">
        <w:rPr>
          <w:rFonts w:cs="Times New Roman"/>
          <w:lang w:eastAsia="x-none"/>
        </w:rPr>
        <w:t xml:space="preserve">cího systému budovy </w:t>
      </w:r>
      <w:proofErr w:type="spellStart"/>
      <w:r w:rsidRPr="00140B2E">
        <w:rPr>
          <w:rFonts w:cs="Times New Roman"/>
          <w:lang w:eastAsia="x-none"/>
        </w:rPr>
        <w:t>CEETe</w:t>
      </w:r>
      <w:proofErr w:type="spellEnd"/>
      <w:r w:rsidRPr="00140B2E">
        <w:rPr>
          <w:rFonts w:cs="Times New Roman"/>
          <w:lang w:eastAsia="x-none"/>
        </w:rPr>
        <w:t>.</w:t>
      </w:r>
    </w:p>
    <w:p w14:paraId="59C5C0B2" w14:textId="6A3DC7B8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Jednotlivé měřené a regulované veličiny musí být plně funkční a ovladatelné z lokálního operátorského stanoviště. Musí být však také plně implementovatelné do Distribuovaného říd</w:t>
      </w:r>
      <w:r>
        <w:rPr>
          <w:rFonts w:cs="Times New Roman"/>
          <w:lang w:eastAsia="x-none"/>
        </w:rPr>
        <w:t>i</w:t>
      </w:r>
      <w:r w:rsidRPr="00140B2E">
        <w:rPr>
          <w:rFonts w:cs="Times New Roman"/>
          <w:lang w:eastAsia="x-none"/>
        </w:rPr>
        <w:t xml:space="preserve">cího systému (DCS z anglického </w:t>
      </w:r>
      <w:proofErr w:type="spellStart"/>
      <w:r w:rsidRPr="00140B2E">
        <w:rPr>
          <w:rFonts w:cs="Times New Roman"/>
          <w:lang w:eastAsia="x-none"/>
        </w:rPr>
        <w:t>distributed</w:t>
      </w:r>
      <w:proofErr w:type="spellEnd"/>
      <w:r w:rsidRPr="00140B2E">
        <w:rPr>
          <w:rFonts w:cs="Times New Roman"/>
          <w:lang w:eastAsia="x-none"/>
        </w:rPr>
        <w:t xml:space="preserve"> </w:t>
      </w:r>
      <w:proofErr w:type="spellStart"/>
      <w:r w:rsidRPr="00140B2E">
        <w:rPr>
          <w:rFonts w:cs="Times New Roman"/>
          <w:lang w:eastAsia="x-none"/>
        </w:rPr>
        <w:t>control</w:t>
      </w:r>
      <w:proofErr w:type="spellEnd"/>
      <w:r w:rsidRPr="00140B2E">
        <w:rPr>
          <w:rFonts w:cs="Times New Roman"/>
          <w:lang w:eastAsia="x-none"/>
        </w:rPr>
        <w:t xml:space="preserve"> </w:t>
      </w:r>
      <w:proofErr w:type="spellStart"/>
      <w:r w:rsidRPr="00140B2E">
        <w:rPr>
          <w:rFonts w:cs="Times New Roman"/>
          <w:lang w:eastAsia="x-none"/>
        </w:rPr>
        <w:t>system</w:t>
      </w:r>
      <w:proofErr w:type="spellEnd"/>
      <w:r w:rsidRPr="00140B2E">
        <w:rPr>
          <w:rFonts w:cs="Times New Roman"/>
          <w:lang w:eastAsia="x-none"/>
        </w:rPr>
        <w:t xml:space="preserve">) </w:t>
      </w:r>
      <w:proofErr w:type="spellStart"/>
      <w:r w:rsidRPr="00140B2E">
        <w:rPr>
          <w:rFonts w:cs="Times New Roman"/>
          <w:lang w:eastAsia="x-none"/>
        </w:rPr>
        <w:t>CEETe</w:t>
      </w:r>
      <w:proofErr w:type="spellEnd"/>
      <w:r w:rsidRPr="00140B2E">
        <w:rPr>
          <w:rFonts w:cs="Times New Roman"/>
          <w:lang w:eastAsia="x-none"/>
        </w:rPr>
        <w:t xml:space="preserve">. Ve velínu </w:t>
      </w:r>
      <w:proofErr w:type="spellStart"/>
      <w:r w:rsidRPr="00140B2E">
        <w:rPr>
          <w:rFonts w:cs="Times New Roman"/>
          <w:lang w:eastAsia="x-none"/>
        </w:rPr>
        <w:t>CEETe</w:t>
      </w:r>
      <w:proofErr w:type="spellEnd"/>
      <w:r w:rsidRPr="00140B2E">
        <w:rPr>
          <w:rFonts w:cs="Times New Roman"/>
          <w:lang w:eastAsia="x-none"/>
        </w:rPr>
        <w:t xml:space="preserve"> budou tedy všechny měřené veličiny vizualizovány a také ovládány. Nastavení práv musí být komunikováno se zpracovatelem projektu pro realizaci stavby a s generálním dodavatelem stavby.</w:t>
      </w:r>
    </w:p>
    <w:p w14:paraId="127E5352" w14:textId="77777777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 xml:space="preserve">Implementace řídicích systémů hydroponické laboratoře do DCS </w:t>
      </w:r>
      <w:proofErr w:type="spellStart"/>
      <w:r w:rsidRPr="00140B2E">
        <w:rPr>
          <w:rFonts w:cs="Times New Roman"/>
          <w:lang w:eastAsia="x-none"/>
        </w:rPr>
        <w:t>CEETe</w:t>
      </w:r>
      <w:proofErr w:type="spellEnd"/>
      <w:r w:rsidRPr="00140B2E">
        <w:rPr>
          <w:rFonts w:cs="Times New Roman"/>
          <w:lang w:eastAsia="x-none"/>
        </w:rPr>
        <w:t xml:space="preserve"> je součástí Stavby a preferovaně by měla být provedena nativní formou bez nutnosti integrace, tedy bez komunikačního rozhraní mezi lokálním řídicím systémem a DCS a nutností tvorby nového grafického zobrazení (</w:t>
      </w:r>
      <w:proofErr w:type="spellStart"/>
      <w:r w:rsidRPr="00140B2E">
        <w:rPr>
          <w:rFonts w:cs="Times New Roman"/>
          <w:lang w:eastAsia="x-none"/>
        </w:rPr>
        <w:t>process</w:t>
      </w:r>
      <w:proofErr w:type="spellEnd"/>
      <w:r w:rsidRPr="00140B2E">
        <w:rPr>
          <w:rFonts w:cs="Times New Roman"/>
          <w:lang w:eastAsia="x-none"/>
        </w:rPr>
        <w:t xml:space="preserve"> </w:t>
      </w:r>
      <w:proofErr w:type="spellStart"/>
      <w:r w:rsidRPr="00140B2E">
        <w:rPr>
          <w:rFonts w:cs="Times New Roman"/>
          <w:lang w:eastAsia="x-none"/>
        </w:rPr>
        <w:t>displays</w:t>
      </w:r>
      <w:proofErr w:type="spellEnd"/>
      <w:r w:rsidRPr="00140B2E">
        <w:rPr>
          <w:rFonts w:cs="Times New Roman"/>
          <w:lang w:eastAsia="x-none"/>
        </w:rPr>
        <w:t>) v DCS.</w:t>
      </w:r>
    </w:p>
    <w:p w14:paraId="545622E4" w14:textId="134F1E6C" w:rsidR="00140B2E" w:rsidRPr="00140B2E" w:rsidRDefault="00140B2E" w:rsidP="00140B2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140B2E">
        <w:rPr>
          <w:rFonts w:cs="Times New Roman"/>
          <w:lang w:eastAsia="x-none"/>
        </w:rPr>
        <w:t>Vybraný uchazeč je povinen komunikovat/koordinovat finální řešení se zpracovatelem projektu pro realizaci stavby a s generálním dodavatelem stavby.</w:t>
      </w:r>
    </w:p>
    <w:p w14:paraId="2564DB65" w14:textId="77777777" w:rsidR="00140B2E" w:rsidRPr="00140B2E" w:rsidRDefault="00140B2E" w:rsidP="00140B2E">
      <w:pPr>
        <w:rPr>
          <w:lang w:eastAsia="cs-CZ"/>
        </w:rPr>
      </w:pPr>
    </w:p>
    <w:bookmarkEnd w:id="0"/>
    <w:p w14:paraId="32448C51" w14:textId="77777777" w:rsidR="00F32483" w:rsidRPr="001C390B" w:rsidRDefault="00F32483" w:rsidP="00F32483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0AC7D4A9" w14:textId="77777777" w:rsidR="00F32483" w:rsidRPr="00FD6953" w:rsidRDefault="00F32483" w:rsidP="00F32483">
      <w:pPr>
        <w:pStyle w:val="Nadpis7"/>
      </w:pPr>
      <w:bookmarkStart w:id="5" w:name="_Toc72757286"/>
      <w:r w:rsidRPr="00FD6953">
        <w:t>ZÁVĚ</w:t>
      </w:r>
      <w:r>
        <w:t>R</w:t>
      </w:r>
      <w:bookmarkEnd w:id="5"/>
    </w:p>
    <w:p w14:paraId="2F360F54" w14:textId="77777777" w:rsidR="00F32483" w:rsidRDefault="00F32483" w:rsidP="00F32483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47F6E6FD" w14:textId="77777777" w:rsidR="00F32483" w:rsidRDefault="00F32483" w:rsidP="00F3248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Dokumentace je provedena v rozsahu pro provádění stavby. Předmětem dodávky je kromě dodání technologie také její doprava, kompletní zapojení, uvedení do provozu, předání veškeré technické dokumentace ve stavu dokumentace skutečného provedení, zaškolení zástupců investora.</w:t>
      </w:r>
    </w:p>
    <w:p w14:paraId="66085575" w14:textId="77777777" w:rsidR="00F32483" w:rsidRDefault="00F32483" w:rsidP="00F32483">
      <w:pPr>
        <w:suppressAutoHyphens w:val="0"/>
        <w:spacing w:line="240" w:lineRule="exact"/>
        <w:ind w:firstLine="340"/>
        <w:jc w:val="both"/>
        <w:outlineLvl w:val="1"/>
      </w:pPr>
    </w:p>
    <w:p w14:paraId="68C34E0E" w14:textId="77777777" w:rsidR="00F32483" w:rsidRDefault="00F32483" w:rsidP="00F3248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>Dokumentace je zpracovaná v souladu s platnými právními předpisy, zvláště pak se zákonem č. 183/2006 Sb., o územním plánování a stavebním řádu (stavební zákon) a dále se souvisejícími právními předpisy, jmenovitě vyhláškou č. 268/2009 Sb. o technických požadavcích na stavby</w:t>
      </w:r>
      <w:r>
        <w:rPr>
          <w:rFonts w:cs="Times New Roman"/>
          <w:lang w:eastAsia="x-none"/>
        </w:rPr>
        <w:t xml:space="preserve">. </w:t>
      </w:r>
    </w:p>
    <w:p w14:paraId="27966626" w14:textId="77777777" w:rsidR="00F32483" w:rsidRDefault="00F32483" w:rsidP="00F3248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4FD98B55" w14:textId="77777777" w:rsidR="00F32483" w:rsidRPr="00016A1A" w:rsidRDefault="00F32483" w:rsidP="00F3248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 xml:space="preserve">Všechny použité materiály a pracovní postupy musí odpovídat platným ČSN a bezpečnostním předpisům. Veškeré práce musí být prováděny a provedeny tak, aby nemohlo dojít k úrazům elektrickým proudem. </w:t>
      </w:r>
    </w:p>
    <w:p w14:paraId="1C2975E6" w14:textId="77777777" w:rsidR="00087A9A" w:rsidRDefault="00087A9A" w:rsidP="00087A9A"/>
    <w:sectPr w:rsidR="00087A9A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4204A" w14:textId="77777777" w:rsidR="00DB4A7E" w:rsidRDefault="00DB4A7E" w:rsidP="00A816AC">
      <w:r>
        <w:separator/>
      </w:r>
    </w:p>
  </w:endnote>
  <w:endnote w:type="continuationSeparator" w:id="0">
    <w:p w14:paraId="48EE9987" w14:textId="77777777" w:rsidR="00DB4A7E" w:rsidRDefault="00DB4A7E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483DFAF2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1A3683" w:rsidRPr="001A3683">
      <w:t>02.1</w:t>
    </w:r>
    <w:r w:rsidR="00E6402A">
      <w:t>8</w:t>
    </w:r>
    <w:r w:rsidR="001A3683" w:rsidRPr="00BC09D9">
      <w:t xml:space="preserve"> </w:t>
    </w:r>
    <w:r w:rsidR="001A3683">
      <w:rPr>
        <w:lang w:eastAsia="cs-CZ"/>
      </w:rPr>
      <w:t xml:space="preserve">- 01 </w:t>
    </w:r>
    <w:r w:rsidR="001A3683">
      <w:rPr>
        <w:lang w:eastAsia="cs-CZ"/>
      </w:rPr>
      <w:tab/>
    </w:r>
    <w:r w:rsidR="001A3683">
      <w:rPr>
        <w:lang w:eastAsia="cs-CZ"/>
      </w:rPr>
      <w:tab/>
    </w: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F250F2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 w:rsidR="00F250F2">
      <w:rPr>
        <w:noProof/>
        <w:sz w:val="18"/>
        <w:szCs w:val="18"/>
      </w:rPr>
      <w:t>5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DC4A1" w14:textId="77777777" w:rsidR="00012795" w:rsidRDefault="000127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26B04" w14:textId="77777777" w:rsidR="00DB4A7E" w:rsidRDefault="00DB4A7E" w:rsidP="00A816AC">
      <w:r>
        <w:separator/>
      </w:r>
    </w:p>
  </w:footnote>
  <w:footnote w:type="continuationSeparator" w:id="0">
    <w:p w14:paraId="7D2F335C" w14:textId="77777777" w:rsidR="00DB4A7E" w:rsidRDefault="00DB4A7E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3EBA" w14:textId="77777777" w:rsidR="00F81BDE" w:rsidRDefault="00F81BDE">
    <w:pPr>
      <w:pStyle w:val="Zhlav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DB70" w14:textId="77777777" w:rsidR="00012795" w:rsidRDefault="0001279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6E62C3D"/>
    <w:multiLevelType w:val="hybridMultilevel"/>
    <w:tmpl w:val="BD3C56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16B1053"/>
    <w:multiLevelType w:val="hybridMultilevel"/>
    <w:tmpl w:val="F828D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6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8138E9"/>
    <w:multiLevelType w:val="hybridMultilevel"/>
    <w:tmpl w:val="06961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9612C7"/>
    <w:multiLevelType w:val="hybridMultilevel"/>
    <w:tmpl w:val="0936ACE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F535082"/>
    <w:multiLevelType w:val="hybridMultilevel"/>
    <w:tmpl w:val="A16EA462"/>
    <w:lvl w:ilvl="0" w:tplc="8E08565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C5243"/>
    <w:multiLevelType w:val="hybridMultilevel"/>
    <w:tmpl w:val="428079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6B1D17"/>
    <w:multiLevelType w:val="hybridMultilevel"/>
    <w:tmpl w:val="54B28FF4"/>
    <w:lvl w:ilvl="0" w:tplc="BECE63A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E547D"/>
    <w:multiLevelType w:val="hybridMultilevel"/>
    <w:tmpl w:val="CDD863BE"/>
    <w:lvl w:ilvl="0" w:tplc="BF049118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2"/>
  </w:num>
  <w:num w:numId="7">
    <w:abstractNumId w:val="2"/>
  </w:num>
  <w:num w:numId="8">
    <w:abstractNumId w:val="10"/>
  </w:num>
  <w:num w:numId="9">
    <w:abstractNumId w:val="15"/>
  </w:num>
  <w:num w:numId="10">
    <w:abstractNumId w:val="21"/>
  </w:num>
  <w:num w:numId="11">
    <w:abstractNumId w:val="13"/>
  </w:num>
  <w:num w:numId="12">
    <w:abstractNumId w:val="9"/>
  </w:num>
  <w:num w:numId="13">
    <w:abstractNumId w:val="19"/>
  </w:num>
  <w:num w:numId="14">
    <w:abstractNumId w:val="8"/>
  </w:num>
  <w:num w:numId="15">
    <w:abstractNumId w:val="25"/>
  </w:num>
  <w:num w:numId="16">
    <w:abstractNumId w:val="22"/>
  </w:num>
  <w:num w:numId="17">
    <w:abstractNumId w:val="7"/>
  </w:num>
  <w:num w:numId="18">
    <w:abstractNumId w:val="18"/>
  </w:num>
  <w:num w:numId="19">
    <w:abstractNumId w:val="23"/>
  </w:num>
  <w:num w:numId="20">
    <w:abstractNumId w:val="24"/>
  </w:num>
  <w:num w:numId="21">
    <w:abstractNumId w:val="11"/>
  </w:num>
  <w:num w:numId="22">
    <w:abstractNumId w:val="14"/>
  </w:num>
  <w:num w:numId="23">
    <w:abstractNumId w:val="17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2795"/>
    <w:rsid w:val="00022565"/>
    <w:rsid w:val="0002329A"/>
    <w:rsid w:val="00027DB8"/>
    <w:rsid w:val="00042177"/>
    <w:rsid w:val="00060B48"/>
    <w:rsid w:val="00061962"/>
    <w:rsid w:val="00087A9A"/>
    <w:rsid w:val="000D4978"/>
    <w:rsid w:val="00106BE4"/>
    <w:rsid w:val="00140B2E"/>
    <w:rsid w:val="00145CE1"/>
    <w:rsid w:val="00161D8F"/>
    <w:rsid w:val="001647F9"/>
    <w:rsid w:val="001A3683"/>
    <w:rsid w:val="001C390B"/>
    <w:rsid w:val="001D3638"/>
    <w:rsid w:val="001E1308"/>
    <w:rsid w:val="001E5B19"/>
    <w:rsid w:val="00205E7A"/>
    <w:rsid w:val="002201EA"/>
    <w:rsid w:val="00233861"/>
    <w:rsid w:val="0024620E"/>
    <w:rsid w:val="002A00A8"/>
    <w:rsid w:val="002C5723"/>
    <w:rsid w:val="002D215C"/>
    <w:rsid w:val="00305366"/>
    <w:rsid w:val="00321E68"/>
    <w:rsid w:val="00341EC6"/>
    <w:rsid w:val="003818F6"/>
    <w:rsid w:val="00395DBC"/>
    <w:rsid w:val="003B0565"/>
    <w:rsid w:val="003D7C39"/>
    <w:rsid w:val="003E33AB"/>
    <w:rsid w:val="003E5397"/>
    <w:rsid w:val="003F490D"/>
    <w:rsid w:val="00417A2F"/>
    <w:rsid w:val="004C33C7"/>
    <w:rsid w:val="004C5FBF"/>
    <w:rsid w:val="005361B2"/>
    <w:rsid w:val="00581136"/>
    <w:rsid w:val="00590B2C"/>
    <w:rsid w:val="00592C28"/>
    <w:rsid w:val="005A5B2F"/>
    <w:rsid w:val="005B3691"/>
    <w:rsid w:val="005D27FD"/>
    <w:rsid w:val="005E4C18"/>
    <w:rsid w:val="0062499C"/>
    <w:rsid w:val="00637515"/>
    <w:rsid w:val="006755A5"/>
    <w:rsid w:val="006A2561"/>
    <w:rsid w:val="00711262"/>
    <w:rsid w:val="00756B2F"/>
    <w:rsid w:val="007A0947"/>
    <w:rsid w:val="007A6689"/>
    <w:rsid w:val="007D3A3B"/>
    <w:rsid w:val="00804D75"/>
    <w:rsid w:val="00865922"/>
    <w:rsid w:val="008A29C0"/>
    <w:rsid w:val="008B2208"/>
    <w:rsid w:val="008B77D6"/>
    <w:rsid w:val="008F09D1"/>
    <w:rsid w:val="008F6347"/>
    <w:rsid w:val="009132E9"/>
    <w:rsid w:val="009416BD"/>
    <w:rsid w:val="00961C1B"/>
    <w:rsid w:val="009E03DE"/>
    <w:rsid w:val="00A567E9"/>
    <w:rsid w:val="00A578E7"/>
    <w:rsid w:val="00A816AC"/>
    <w:rsid w:val="00AC5EC8"/>
    <w:rsid w:val="00AD6FA1"/>
    <w:rsid w:val="00AD7012"/>
    <w:rsid w:val="00B850E3"/>
    <w:rsid w:val="00B866AE"/>
    <w:rsid w:val="00B90798"/>
    <w:rsid w:val="00BC09D9"/>
    <w:rsid w:val="00BE60FA"/>
    <w:rsid w:val="00C05FF8"/>
    <w:rsid w:val="00C242B0"/>
    <w:rsid w:val="00C510EE"/>
    <w:rsid w:val="00C668CA"/>
    <w:rsid w:val="00C73110"/>
    <w:rsid w:val="00CB38AE"/>
    <w:rsid w:val="00CE02F5"/>
    <w:rsid w:val="00CF47CF"/>
    <w:rsid w:val="00D01812"/>
    <w:rsid w:val="00D222BF"/>
    <w:rsid w:val="00D57493"/>
    <w:rsid w:val="00DA3D13"/>
    <w:rsid w:val="00DB4A7E"/>
    <w:rsid w:val="00E168FB"/>
    <w:rsid w:val="00E26925"/>
    <w:rsid w:val="00E419A8"/>
    <w:rsid w:val="00E53AD7"/>
    <w:rsid w:val="00E6402A"/>
    <w:rsid w:val="00E926AC"/>
    <w:rsid w:val="00EF3E15"/>
    <w:rsid w:val="00F250F2"/>
    <w:rsid w:val="00F32483"/>
    <w:rsid w:val="00F81BDE"/>
    <w:rsid w:val="00F85AD6"/>
    <w:rsid w:val="00FA017E"/>
    <w:rsid w:val="00FD6953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Nevyeenzmnka1">
    <w:name w:val="Nevyřešená zmínka1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5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3CA9BD-DB12-4C8D-8DBE-CFFE6850D7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C8C0D0-B813-4C01-B32D-495E58A716E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1518</Words>
  <Characters>8958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Cieslar Martin | CHVÁLEK ATELIÉR</cp:lastModifiedBy>
  <cp:revision>4</cp:revision>
  <cp:lastPrinted>2021-06-28T13:30:00Z</cp:lastPrinted>
  <dcterms:created xsi:type="dcterms:W3CDTF">2021-05-26T11:56:00Z</dcterms:created>
  <dcterms:modified xsi:type="dcterms:W3CDTF">2021-06-28T13:30:00Z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